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spacing w:before="8"/>
        <w:rPr>
          <w:rFonts w:ascii="Times New Roman"/>
        </w:rPr>
      </w:pPr>
    </w:p>
    <w:p>
      <w:pPr>
        <w:spacing w:before="33"/>
        <w:ind w:left="0" w:right="18" w:firstLine="0"/>
        <w:jc w:val="center"/>
        <w:rPr>
          <w:rFonts w:hint="eastAsia"/>
          <w:b/>
          <w:w w:val="95"/>
          <w:sz w:val="36"/>
          <w:szCs w:val="36"/>
        </w:rPr>
      </w:pPr>
      <w:r>
        <w:rPr>
          <w:rFonts w:hint="eastAsia"/>
          <w:b/>
          <w:w w:val="95"/>
          <w:sz w:val="36"/>
          <w:szCs w:val="36"/>
          <w:lang w:val="en-US" w:eastAsia="zh-CN"/>
        </w:rPr>
        <w:t>万家坝路以北</w:t>
      </w:r>
      <w:r>
        <w:rPr>
          <w:rFonts w:hint="eastAsia"/>
          <w:b/>
          <w:w w:val="95"/>
          <w:sz w:val="36"/>
          <w:szCs w:val="36"/>
        </w:rPr>
        <w:t>、</w:t>
      </w:r>
      <w:r>
        <w:rPr>
          <w:rFonts w:hint="eastAsia"/>
          <w:b/>
          <w:w w:val="95"/>
          <w:sz w:val="36"/>
          <w:szCs w:val="36"/>
          <w:lang w:val="en-US" w:eastAsia="zh-CN"/>
        </w:rPr>
        <w:t>盘城北街以西</w:t>
      </w:r>
      <w:r>
        <w:rPr>
          <w:rFonts w:hint="eastAsia"/>
          <w:b/>
          <w:w w:val="95"/>
          <w:sz w:val="36"/>
          <w:szCs w:val="36"/>
        </w:rPr>
        <w:t>地块</w:t>
      </w:r>
    </w:p>
    <w:p>
      <w:pPr>
        <w:spacing w:before="33"/>
        <w:ind w:left="0" w:right="18" w:firstLine="0"/>
        <w:jc w:val="center"/>
        <w:rPr>
          <w:rFonts w:hint="eastAsia"/>
          <w:b/>
          <w:w w:val="95"/>
          <w:sz w:val="36"/>
          <w:szCs w:val="36"/>
        </w:rPr>
      </w:pPr>
      <w:r>
        <w:rPr>
          <w:rFonts w:hint="eastAsia"/>
          <w:b/>
          <w:w w:val="95"/>
          <w:sz w:val="36"/>
          <w:szCs w:val="36"/>
        </w:rPr>
        <w:t>（拟建</w:t>
      </w:r>
      <w:r>
        <w:rPr>
          <w:rFonts w:hint="eastAsia"/>
          <w:b/>
          <w:w w:val="95"/>
          <w:sz w:val="36"/>
          <w:szCs w:val="36"/>
          <w:lang w:val="en-US" w:eastAsia="zh-CN"/>
        </w:rPr>
        <w:t>盘城镇街经济适用房（拆迁安置房）</w:t>
      </w:r>
      <w:r>
        <w:rPr>
          <w:rFonts w:hint="eastAsia"/>
          <w:b/>
          <w:w w:val="95"/>
          <w:sz w:val="36"/>
          <w:szCs w:val="36"/>
        </w:rPr>
        <w:t>）</w:t>
      </w:r>
    </w:p>
    <w:p>
      <w:pPr>
        <w:spacing w:before="33"/>
        <w:ind w:left="0" w:right="18" w:firstLine="0"/>
        <w:jc w:val="center"/>
        <w:rPr>
          <w:b/>
          <w:sz w:val="44"/>
          <w:szCs w:val="44"/>
        </w:rPr>
      </w:pPr>
      <w:r>
        <w:rPr>
          <w:b/>
          <w:w w:val="95"/>
          <w:sz w:val="44"/>
          <w:szCs w:val="44"/>
        </w:rPr>
        <w:t xml:space="preserve"> 土壤污染状况调查报告</w:t>
      </w:r>
    </w:p>
    <w:p>
      <w:pPr>
        <w:pStyle w:val="3"/>
        <w:rPr>
          <w:b/>
          <w:sz w:val="48"/>
        </w:rPr>
      </w:pPr>
    </w:p>
    <w:p>
      <w:pPr>
        <w:pStyle w:val="3"/>
        <w:rPr>
          <w:b/>
          <w:sz w:val="48"/>
        </w:rPr>
      </w:pPr>
    </w:p>
    <w:p>
      <w:pPr>
        <w:pStyle w:val="3"/>
        <w:rPr>
          <w:b/>
          <w:sz w:val="48"/>
        </w:rPr>
      </w:pPr>
    </w:p>
    <w:p>
      <w:pPr>
        <w:pStyle w:val="3"/>
        <w:rPr>
          <w:b/>
          <w:sz w:val="48"/>
        </w:rPr>
      </w:pPr>
    </w:p>
    <w:p>
      <w:pPr>
        <w:pStyle w:val="3"/>
        <w:jc w:val="both"/>
        <w:rPr>
          <w:b/>
          <w:sz w:val="48"/>
        </w:rPr>
      </w:pPr>
    </w:p>
    <w:p>
      <w:pPr>
        <w:pStyle w:val="3"/>
        <w:spacing w:before="10"/>
        <w:rPr>
          <w:b/>
          <w:sz w:val="50"/>
        </w:rPr>
      </w:pPr>
    </w:p>
    <w:p>
      <w:pPr>
        <w:pStyle w:val="3"/>
        <w:spacing w:before="10"/>
        <w:rPr>
          <w:b/>
          <w:sz w:val="50"/>
        </w:rPr>
      </w:pPr>
    </w:p>
    <w:p>
      <w:pPr>
        <w:pStyle w:val="3"/>
        <w:spacing w:before="10"/>
        <w:rPr>
          <w:b/>
          <w:sz w:val="50"/>
        </w:rPr>
      </w:pPr>
      <w:bookmarkStart w:id="0" w:name="_GoBack"/>
      <w:bookmarkEnd w:id="0"/>
    </w:p>
    <w:p>
      <w:pPr>
        <w:spacing w:before="0"/>
        <w:ind w:left="0" w:right="22" w:firstLine="0"/>
        <w:jc w:val="center"/>
        <w:rPr>
          <w:rFonts w:hint="default" w:eastAsia="宋体"/>
          <w:b/>
          <w:sz w:val="32"/>
          <w:lang w:val="en-US" w:eastAsia="zh-CN"/>
        </w:rPr>
      </w:pPr>
      <w:r>
        <w:rPr>
          <w:b/>
          <w:sz w:val="32"/>
        </w:rPr>
        <w:t>土地使用权人：南京</w:t>
      </w:r>
      <w:r>
        <w:rPr>
          <w:rFonts w:hint="eastAsia"/>
          <w:b/>
          <w:sz w:val="32"/>
          <w:lang w:val="en-US" w:eastAsia="zh-CN"/>
        </w:rPr>
        <w:t>新居建设集团有限公司</w:t>
      </w:r>
    </w:p>
    <w:p>
      <w:pPr>
        <w:tabs>
          <w:tab w:val="left" w:pos="3751"/>
        </w:tabs>
        <w:spacing w:before="90" w:line="585" w:lineRule="auto"/>
        <w:ind w:right="170" w:rightChars="0" w:firstLine="964" w:firstLineChars="300"/>
        <w:jc w:val="left"/>
        <w:rPr>
          <w:rFonts w:hint="default" w:eastAsia="宋体"/>
          <w:b/>
          <w:sz w:val="32"/>
          <w:lang w:val="en-US" w:eastAsia="zh-CN"/>
        </w:rPr>
      </w:pPr>
      <w:r>
        <w:rPr>
          <w:b/>
          <w:sz w:val="32"/>
        </w:rPr>
        <w:t>调查单位：</w:t>
      </w:r>
      <w:r>
        <w:rPr>
          <w:rFonts w:hint="eastAsia"/>
          <w:b/>
          <w:sz w:val="32"/>
          <w:lang w:val="en-US" w:eastAsia="zh-CN"/>
        </w:rPr>
        <w:t>首为（南京）生态环境发展</w:t>
      </w:r>
      <w:r>
        <w:rPr>
          <w:rFonts w:hint="eastAsia"/>
          <w:b/>
          <w:sz w:val="32"/>
        </w:rPr>
        <w:t>有限公司</w:t>
      </w:r>
    </w:p>
    <w:p>
      <w:pPr>
        <w:tabs>
          <w:tab w:val="left" w:pos="3751"/>
        </w:tabs>
        <w:spacing w:before="90" w:line="585" w:lineRule="auto"/>
        <w:ind w:left="1181" w:right="1200" w:firstLine="0"/>
        <w:jc w:val="center"/>
        <w:rPr>
          <w:sz w:val="32"/>
        </w:rPr>
        <w:sectPr>
          <w:pgSz w:w="11910" w:h="16840"/>
          <w:pgMar w:top="1580" w:right="1540" w:bottom="280" w:left="1560" w:header="720" w:footer="720" w:gutter="0"/>
          <w:pgBorders>
            <w:top w:val="none" w:sz="0" w:space="0"/>
            <w:left w:val="none" w:sz="0" w:space="0"/>
            <w:bottom w:val="none" w:sz="0" w:space="0"/>
            <w:right w:val="none" w:sz="0" w:space="0"/>
          </w:pgBorders>
          <w:cols w:space="720" w:num="1"/>
        </w:sectPr>
      </w:pPr>
      <w:r>
        <w:rPr>
          <w:b/>
          <w:sz w:val="32"/>
        </w:rPr>
        <w:t>二〇二</w:t>
      </w:r>
      <w:r>
        <w:rPr>
          <w:rFonts w:hint="eastAsia"/>
          <w:b/>
          <w:sz w:val="32"/>
          <w:lang w:val="en-US" w:eastAsia="zh-CN"/>
        </w:rPr>
        <w:t>一</w:t>
      </w:r>
      <w:r>
        <w:rPr>
          <w:b/>
          <w:sz w:val="32"/>
        </w:rPr>
        <w:t>年</w:t>
      </w:r>
      <w:r>
        <w:rPr>
          <w:rFonts w:hint="eastAsia"/>
          <w:b/>
          <w:sz w:val="32"/>
          <w:lang w:val="en-US" w:eastAsia="zh-CN"/>
        </w:rPr>
        <w:t>五</w:t>
      </w:r>
      <w:r>
        <w:rPr>
          <w:b/>
          <w:sz w:val="32"/>
        </w:rPr>
        <w:t>月</w:t>
      </w:r>
    </w:p>
    <w:p>
      <w:pPr>
        <w:bidi w:val="0"/>
        <w:jc w:val="center"/>
        <w:rPr>
          <w:b/>
          <w:bCs/>
          <w:color w:val="auto"/>
          <w:sz w:val="28"/>
          <w:szCs w:val="28"/>
        </w:rPr>
      </w:pPr>
      <w:r>
        <w:rPr>
          <w:b/>
          <w:bCs/>
          <w:color w:val="auto"/>
          <w:sz w:val="28"/>
          <w:szCs w:val="28"/>
        </w:rPr>
        <w:t>摘</w:t>
      </w:r>
      <w:r>
        <w:rPr>
          <w:rFonts w:hint="eastAsia"/>
          <w:b/>
          <w:bCs/>
          <w:color w:val="auto"/>
          <w:sz w:val="28"/>
          <w:szCs w:val="28"/>
          <w:lang w:val="en-US" w:eastAsia="zh-CN"/>
        </w:rPr>
        <w:t xml:space="preserve">  </w:t>
      </w:r>
      <w:r>
        <w:rPr>
          <w:b/>
          <w:bCs/>
          <w:color w:val="auto"/>
          <w:sz w:val="28"/>
          <w:szCs w:val="28"/>
        </w:rPr>
        <w:t>要</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pPr>
      <w:r>
        <w:rPr>
          <w:rFonts w:hint="eastAsia"/>
          <w:lang w:val="en-US" w:eastAsia="zh-CN"/>
        </w:rPr>
        <w:t>万家坝路以北、盘城北街以西地块（拟建盘城镇街经济适用房（拆迁安置房））</w:t>
      </w:r>
      <w:r>
        <w:rPr>
          <w:rFonts w:hint="eastAsia" w:ascii="Times New Roman" w:hAnsi="Times New Roman" w:cs="Times New Roman"/>
          <w:spacing w:val="-9"/>
          <w:vertAlign w:val="baseline"/>
          <w:lang w:eastAsia="zh-CN"/>
        </w:rPr>
        <w:t>位于南京市</w:t>
      </w:r>
      <w:r>
        <w:rPr>
          <w:rFonts w:hint="eastAsia" w:cs="Times New Roman"/>
          <w:spacing w:val="-9"/>
          <w:vertAlign w:val="baseline"/>
          <w:lang w:val="en-US" w:eastAsia="zh-CN"/>
        </w:rPr>
        <w:t>江北新区盘城</w:t>
      </w:r>
      <w:r>
        <w:rPr>
          <w:rFonts w:hint="eastAsia" w:ascii="Times New Roman" w:hAnsi="Times New Roman" w:cs="Times New Roman"/>
          <w:spacing w:val="-9"/>
          <w:vertAlign w:val="baseline"/>
          <w:lang w:eastAsia="zh-CN"/>
        </w:rPr>
        <w:t>街道</w:t>
      </w:r>
      <w:r>
        <w:rPr>
          <w:rFonts w:hint="eastAsia" w:cs="Times New Roman"/>
          <w:spacing w:val="-9"/>
          <w:vertAlign w:val="baseline"/>
          <w:lang w:eastAsia="zh-CN"/>
        </w:rPr>
        <w:t>，</w:t>
      </w:r>
      <w:r>
        <w:rPr>
          <w:rFonts w:hint="eastAsia" w:ascii="Times New Roman" w:hAnsi="Times New Roman" w:cs="Times New Roman"/>
          <w:spacing w:val="-9"/>
          <w:vertAlign w:val="baseline"/>
          <w:lang w:eastAsia="zh-CN"/>
        </w:rPr>
        <w:t>东至</w:t>
      </w:r>
      <w:r>
        <w:rPr>
          <w:rFonts w:hint="eastAsia" w:cs="Times New Roman"/>
          <w:spacing w:val="-9"/>
          <w:vertAlign w:val="baseline"/>
          <w:lang w:val="en-US" w:eastAsia="zh-CN"/>
        </w:rPr>
        <w:t>盘城北街</w:t>
      </w:r>
      <w:r>
        <w:rPr>
          <w:rFonts w:hint="eastAsia" w:ascii="Times New Roman" w:hAnsi="Times New Roman" w:cs="Times New Roman"/>
          <w:spacing w:val="-9"/>
          <w:vertAlign w:val="baseline"/>
          <w:lang w:eastAsia="zh-CN"/>
        </w:rPr>
        <w:t>、西至</w:t>
      </w:r>
      <w:r>
        <w:rPr>
          <w:rFonts w:hint="eastAsia" w:cs="Times New Roman"/>
          <w:spacing w:val="-9"/>
          <w:vertAlign w:val="baseline"/>
          <w:lang w:val="en-US" w:eastAsia="zh-CN"/>
        </w:rPr>
        <w:t>盘城后街</w:t>
      </w:r>
      <w:r>
        <w:rPr>
          <w:rFonts w:hint="eastAsia" w:ascii="Times New Roman" w:hAnsi="Times New Roman" w:cs="Times New Roman"/>
          <w:spacing w:val="-9"/>
          <w:vertAlign w:val="baseline"/>
          <w:lang w:eastAsia="zh-CN"/>
        </w:rPr>
        <w:t>、南至</w:t>
      </w:r>
      <w:r>
        <w:rPr>
          <w:rFonts w:hint="eastAsia" w:cs="Times New Roman"/>
          <w:spacing w:val="-9"/>
          <w:vertAlign w:val="baseline"/>
          <w:lang w:val="en-US" w:eastAsia="zh-CN"/>
        </w:rPr>
        <w:t>万家坝路</w:t>
      </w:r>
      <w:r>
        <w:rPr>
          <w:rFonts w:hint="eastAsia" w:cs="Times New Roman"/>
          <w:spacing w:val="-9"/>
          <w:vertAlign w:val="baseline"/>
          <w:lang w:eastAsia="zh-CN"/>
        </w:rPr>
        <w:t>，</w:t>
      </w:r>
      <w:r>
        <w:rPr>
          <w:rFonts w:hint="eastAsia" w:ascii="Times New Roman" w:hAnsi="Times New Roman" w:cs="Times New Roman"/>
          <w:spacing w:val="-9"/>
          <w:vertAlign w:val="baseline"/>
          <w:lang w:eastAsia="zh-CN"/>
        </w:rPr>
        <w:t>北至</w:t>
      </w:r>
      <w:r>
        <w:rPr>
          <w:rFonts w:hint="eastAsia" w:cs="Times New Roman"/>
          <w:spacing w:val="-9"/>
          <w:vertAlign w:val="baseline"/>
          <w:lang w:val="en-US" w:eastAsia="zh-CN"/>
        </w:rPr>
        <w:t>盘城中街</w:t>
      </w:r>
      <w:r>
        <w:rPr>
          <w:rFonts w:hint="eastAsia" w:ascii="Times New Roman" w:hAnsi="Times New Roman" w:cs="Times New Roman"/>
          <w:spacing w:val="-9"/>
          <w:vertAlign w:val="baseline"/>
          <w:lang w:eastAsia="zh-CN"/>
        </w:rPr>
        <w:t>，面积约</w:t>
      </w:r>
      <w:r>
        <w:rPr>
          <w:rFonts w:hint="eastAsia" w:cs="Times New Roman"/>
          <w:spacing w:val="-9"/>
          <w:vertAlign w:val="baseline"/>
          <w:lang w:val="en-US" w:eastAsia="zh-CN"/>
        </w:rPr>
        <w:t>127480.95</w:t>
      </w:r>
      <w:r>
        <w:rPr>
          <w:rFonts w:hint="eastAsia" w:ascii="Times New Roman" w:hAnsi="Times New Roman" w:cs="Times New Roman"/>
          <w:spacing w:val="-9"/>
          <w:vertAlign w:val="baseline"/>
          <w:lang w:eastAsia="zh-CN"/>
        </w:rPr>
        <w:t>m</w:t>
      </w:r>
      <w:r>
        <w:rPr>
          <w:rFonts w:hint="eastAsia" w:ascii="Times New Roman" w:hAnsi="Times New Roman" w:cs="Times New Roman"/>
          <w:spacing w:val="-9"/>
          <w:vertAlign w:val="superscript"/>
          <w:lang w:eastAsia="zh-CN"/>
        </w:rPr>
        <w:t>2</w:t>
      </w:r>
      <w:r>
        <w:rPr>
          <w:rFonts w:hint="eastAsia" w:cs="Times New Roman"/>
          <w:spacing w:val="-9"/>
          <w:vertAlign w:val="baseline"/>
          <w:lang w:eastAsia="zh-CN"/>
        </w:rPr>
        <w:t>（</w:t>
      </w:r>
      <w:r>
        <w:rPr>
          <w:rFonts w:hint="eastAsia" w:cs="Times New Roman"/>
          <w:spacing w:val="-9"/>
          <w:vertAlign w:val="baseline"/>
          <w:lang w:val="en-US" w:eastAsia="zh-CN"/>
        </w:rPr>
        <w:t>分为A、B两区，其中A分区面积73466.07m</w:t>
      </w:r>
      <w:r>
        <w:rPr>
          <w:rFonts w:hint="eastAsia" w:cs="Times New Roman"/>
          <w:spacing w:val="-9"/>
          <w:vertAlign w:val="superscript"/>
          <w:lang w:val="en-US" w:eastAsia="zh-CN"/>
        </w:rPr>
        <w:t>2</w:t>
      </w:r>
      <w:r>
        <w:rPr>
          <w:rFonts w:hint="eastAsia" w:cs="Times New Roman"/>
          <w:spacing w:val="-9"/>
          <w:vertAlign w:val="baseline"/>
          <w:lang w:val="en-US" w:eastAsia="zh-CN"/>
        </w:rPr>
        <w:t>、B分区面积54014.88m</w:t>
      </w:r>
      <w:r>
        <w:rPr>
          <w:rFonts w:hint="eastAsia" w:cs="Times New Roman"/>
          <w:spacing w:val="-9"/>
          <w:vertAlign w:val="superscript"/>
          <w:lang w:val="en-US" w:eastAsia="zh-CN"/>
        </w:rPr>
        <w:t>2</w:t>
      </w:r>
      <w:r>
        <w:rPr>
          <w:rFonts w:hint="eastAsia" w:cs="Times New Roman"/>
          <w:spacing w:val="-9"/>
          <w:vertAlign w:val="baseline"/>
          <w:lang w:eastAsia="zh-CN"/>
        </w:rPr>
        <w:t>）</w:t>
      </w:r>
      <w:r>
        <w:rPr>
          <w:rFonts w:hint="eastAsia" w:cs="Times New Roman"/>
          <w:spacing w:val="-9"/>
          <w:lang w:val="en-US" w:eastAsia="zh-CN"/>
        </w:rPr>
        <w:t>，未来</w:t>
      </w:r>
      <w:r>
        <w:rPr>
          <w:rFonts w:hint="eastAsia" w:ascii="Times New Roman" w:hAnsi="Times New Roman" w:cs="Times New Roman"/>
          <w:spacing w:val="-9"/>
          <w:lang w:val="en-US" w:eastAsia="zh-CN"/>
        </w:rPr>
        <w:t>规划用地性质</w:t>
      </w:r>
      <w:r>
        <w:rPr>
          <w:rFonts w:hint="eastAsia" w:cs="Times New Roman"/>
          <w:spacing w:val="-9"/>
          <w:lang w:val="en-US" w:eastAsia="zh-CN"/>
        </w:rPr>
        <w:t>R2二类居住用地</w:t>
      </w:r>
      <w:r>
        <w:rPr>
          <w:spacing w:val="-9"/>
        </w:rPr>
        <w:t>。本次土壤污染状况调查工作于</w:t>
      </w:r>
      <w:r>
        <w:rPr>
          <w:rFonts w:ascii="Times New Roman" w:eastAsia="Times New Roman"/>
        </w:rPr>
        <w:t>2020</w:t>
      </w:r>
      <w:r>
        <w:rPr>
          <w:spacing w:val="-30"/>
        </w:rPr>
        <w:t>年</w:t>
      </w:r>
      <w:r>
        <w:rPr>
          <w:rFonts w:hint="eastAsia"/>
          <w:lang w:val="en-US" w:eastAsia="zh-CN"/>
        </w:rPr>
        <w:t>11</w:t>
      </w:r>
      <w:r>
        <w:t>月开展，具体如下：</w:t>
      </w:r>
    </w:p>
    <w:p>
      <w:pPr>
        <w:bidi w:val="0"/>
        <w:ind w:firstLine="480" w:firstLineChars="200"/>
        <w:jc w:val="both"/>
        <w:rPr>
          <w:b/>
          <w:bCs/>
        </w:rPr>
      </w:pPr>
      <w:r>
        <w:rPr>
          <w:rFonts w:ascii="Times New Roman" w:eastAsia="Times New Roman"/>
          <w:b/>
          <w:bCs/>
        </w:rPr>
        <w:t>1</w:t>
      </w:r>
      <w:r>
        <w:rPr>
          <w:b/>
          <w:bCs/>
        </w:rPr>
        <w:t>、第一阶段调查</w:t>
      </w:r>
    </w:p>
    <w:p>
      <w:pPr>
        <w:pStyle w:val="3"/>
        <w:keepNext w:val="0"/>
        <w:keepLines w:val="0"/>
        <w:pageBreakBefore w:val="0"/>
        <w:widowControl w:val="0"/>
        <w:kinsoku/>
        <w:wordWrap w:val="0"/>
        <w:overflowPunct/>
        <w:topLinePunct w:val="0"/>
        <w:autoSpaceDE w:val="0"/>
        <w:autoSpaceDN w:val="0"/>
        <w:bidi w:val="0"/>
        <w:adjustRightInd/>
        <w:snapToGrid/>
        <w:spacing w:before="0" w:line="360" w:lineRule="auto"/>
        <w:ind w:left="0" w:right="0" w:firstLine="444" w:firstLineChars="200"/>
        <w:jc w:val="both"/>
        <w:textAlignment w:val="auto"/>
        <w:rPr>
          <w:rFonts w:hint="eastAsia" w:eastAsia="宋体"/>
          <w:lang w:eastAsia="zh-CN"/>
        </w:rPr>
      </w:pPr>
      <w:r>
        <w:rPr>
          <w:spacing w:val="-9"/>
        </w:rPr>
        <w:t>项目组通过历史资料收集、现场踏勘以及人员访谈等形式对本次调查地块进</w:t>
      </w:r>
      <w:r>
        <w:t>行了第一阶段调查。</w:t>
      </w:r>
      <w:r>
        <w:rPr>
          <w:spacing w:val="-6"/>
        </w:rPr>
        <w:t>根据历史资料收集和人员访谈可知</w:t>
      </w:r>
      <w:r>
        <w:rPr>
          <w:rFonts w:hint="eastAsia"/>
          <w:spacing w:val="-6"/>
          <w:lang w:eastAsia="zh-CN"/>
        </w:rPr>
        <w:t>，</w:t>
      </w:r>
      <w:r>
        <w:rPr>
          <w:rFonts w:hint="eastAsia"/>
          <w:spacing w:val="-6"/>
        </w:rPr>
        <w:t>地块范围内历史上主要为盘城村盘西组、盘东组居民居住用地、南京信息工程大学附属高新实验小学</w:t>
      </w:r>
      <w:r>
        <w:rPr>
          <w:rFonts w:hint="eastAsia"/>
          <w:spacing w:val="-6"/>
          <w:lang w:eastAsia="zh-CN"/>
        </w:rPr>
        <w:t>（</w:t>
      </w:r>
      <w:r>
        <w:rPr>
          <w:rFonts w:hint="eastAsia"/>
          <w:spacing w:val="-6"/>
          <w:lang w:val="en-US" w:eastAsia="zh-CN"/>
        </w:rPr>
        <w:t>南区</w:t>
      </w:r>
      <w:r>
        <w:rPr>
          <w:rFonts w:hint="eastAsia"/>
          <w:spacing w:val="-6"/>
          <w:lang w:eastAsia="zh-CN"/>
        </w:rPr>
        <w:t>）</w:t>
      </w:r>
      <w:r>
        <w:rPr>
          <w:rFonts w:hint="eastAsia"/>
          <w:spacing w:val="-6"/>
        </w:rPr>
        <w:t>、南京意路发防腐材料厂</w:t>
      </w:r>
      <w:r>
        <w:rPr>
          <w:rFonts w:hint="default" w:ascii="Times New Roman" w:hAnsi="Times New Roman" w:cs="Times New Roman"/>
        </w:rPr>
        <w:t>。</w:t>
      </w:r>
      <w:r>
        <w:rPr>
          <w:spacing w:val="-3"/>
        </w:rPr>
        <w:t>根据现场踏勘情况</w:t>
      </w:r>
      <w:r>
        <w:rPr>
          <w:rFonts w:hint="eastAsia"/>
          <w:spacing w:val="-3"/>
          <w:lang w:eastAsia="zh-CN"/>
        </w:rPr>
        <w:t>，</w:t>
      </w:r>
      <w:r>
        <w:rPr>
          <w:rFonts w:hint="eastAsia"/>
          <w:spacing w:val="-3"/>
          <w:lang w:val="en-US" w:eastAsia="zh-CN"/>
        </w:rPr>
        <w:t>地块内部大部分已经完成拆迁，部分区域有杂草，部分区域为菜地，已经拆迁区域有拆迁过程中产生的建筑垃圾、地块内仍有零星居民居住，</w:t>
      </w:r>
      <w:r>
        <w:rPr>
          <w:spacing w:val="-10"/>
        </w:rPr>
        <w:t>地块内部未发现外来堆土和</w:t>
      </w:r>
      <w:r>
        <w:rPr>
          <w:spacing w:val="-3"/>
        </w:rPr>
        <w:t>固体废物堆放</w:t>
      </w:r>
      <w:r>
        <w:rPr>
          <w:rFonts w:hint="eastAsia"/>
          <w:spacing w:val="-3"/>
          <w:lang w:val="en-US" w:eastAsia="zh-CN"/>
        </w:rPr>
        <w:t>，</w:t>
      </w:r>
      <w:r>
        <w:rPr>
          <w:spacing w:val="-3"/>
        </w:rPr>
        <w:t>现场未发现明显的污染痕迹，地块表层土壤</w:t>
      </w:r>
      <w:r>
        <w:rPr>
          <w:rFonts w:hint="eastAsia"/>
          <w:spacing w:val="-3"/>
          <w:lang w:val="en-US" w:eastAsia="zh-CN"/>
        </w:rPr>
        <w:t>和堆土</w:t>
      </w:r>
      <w:r>
        <w:rPr>
          <w:spacing w:val="-3"/>
        </w:rPr>
        <w:t xml:space="preserve">的 </w:t>
      </w:r>
      <w:r>
        <w:rPr>
          <w:rFonts w:ascii="Times New Roman" w:eastAsia="Times New Roman"/>
        </w:rPr>
        <w:t xml:space="preserve">PID </w:t>
      </w:r>
      <w:r>
        <w:rPr>
          <w:spacing w:val="-29"/>
        </w:rPr>
        <w:t>和</w:t>
      </w:r>
      <w:r>
        <w:rPr>
          <w:rFonts w:ascii="Times New Roman" w:eastAsia="Times New Roman"/>
        </w:rPr>
        <w:t xml:space="preserve">XRF </w:t>
      </w:r>
      <w:r>
        <w:rPr>
          <w:spacing w:val="-7"/>
        </w:rPr>
        <w:t>快速</w:t>
      </w:r>
      <w:r>
        <w:rPr>
          <w:spacing w:val="-8"/>
        </w:rPr>
        <w:t>检测结果均未发现异常</w:t>
      </w:r>
      <w:r>
        <w:rPr>
          <w:rFonts w:hint="eastAsia"/>
          <w:spacing w:val="-8"/>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8" w:firstLineChars="200"/>
        <w:jc w:val="both"/>
        <w:textAlignment w:val="auto"/>
        <w:rPr>
          <w:rFonts w:hint="eastAsia"/>
          <w:spacing w:val="-8"/>
          <w:lang w:val="en-US" w:eastAsia="zh-CN"/>
        </w:rPr>
      </w:pPr>
      <w:r>
        <w:rPr>
          <w:rFonts w:hint="eastAsia"/>
          <w:spacing w:val="-8"/>
          <w:lang w:val="en-US" w:eastAsia="zh-CN"/>
        </w:rPr>
        <w:t>地块内的</w:t>
      </w:r>
      <w:r>
        <w:rPr>
          <w:rFonts w:hint="eastAsia"/>
          <w:spacing w:val="-6"/>
        </w:rPr>
        <w:t>南京意路发防腐材料厂</w:t>
      </w:r>
      <w:r>
        <w:rPr>
          <w:rFonts w:hint="eastAsia"/>
          <w:spacing w:val="-6"/>
          <w:lang w:eastAsia="zh-CN"/>
        </w:rPr>
        <w:t>，</w:t>
      </w:r>
      <w:r>
        <w:rPr>
          <w:rFonts w:hint="eastAsia"/>
          <w:spacing w:val="-6"/>
          <w:lang w:val="en-US" w:eastAsia="zh-CN"/>
        </w:rPr>
        <w:t>主要产品为防腐油漆，为地块潜在污染源，潜在污染因子主要为重金属、有机物、石油烃，厂址所在区域为潜在污染区域，需进行第二阶段调查</w:t>
      </w:r>
      <w:r>
        <w:rPr>
          <w:rFonts w:hint="eastAsia"/>
          <w:spacing w:val="-8"/>
          <w:lang w:val="en-US" w:eastAsia="zh-CN"/>
        </w:rPr>
        <w:t>。</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Times New Roman" w:hAnsi="Times New Roman" w:eastAsia="Times New Roman" w:cs="宋体"/>
          <w:b/>
          <w:bCs/>
          <w:snapToGrid w:val="0"/>
          <w:sz w:val="24"/>
          <w:szCs w:val="24"/>
          <w:lang w:val="en-US" w:eastAsia="zh-CN" w:bidi="zh-CN"/>
        </w:rPr>
      </w:pPr>
      <w:r>
        <w:rPr>
          <w:rFonts w:hint="eastAsia" w:ascii="Times New Roman" w:hAnsi="Times New Roman" w:eastAsia="Times New Roman" w:cs="宋体"/>
          <w:b/>
          <w:bCs/>
          <w:snapToGrid w:val="0"/>
          <w:sz w:val="24"/>
          <w:szCs w:val="24"/>
          <w:lang w:val="en-US" w:eastAsia="zh-CN" w:bidi="zh-CN"/>
        </w:rPr>
        <w:t>第二阶段调查</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72" w:firstLineChars="200"/>
        <w:jc w:val="both"/>
        <w:textAlignment w:val="auto"/>
        <w:rPr>
          <w:rFonts w:hint="default" w:eastAsia="宋体"/>
          <w:spacing w:val="-8"/>
          <w:lang w:val="en-US" w:eastAsia="zh-CN"/>
        </w:rPr>
      </w:pPr>
      <w:r>
        <w:rPr>
          <w:rFonts w:hint="eastAsia"/>
          <w:spacing w:val="-2"/>
          <w:lang w:val="en-US" w:eastAsia="zh-CN"/>
        </w:rPr>
        <w:t>第二阶段采样调查共布设 7个土壤点位（含1个背景对照点）、4个地下水监测井（含1个地下水背景对照点）、1个堆土采样点、2个民用井采样点，送检土壤样品30个（含4个现场平行样、1个堆土样品、1个对照点样品），7个水样（含2个民用井水样品、1个对照点样品、1个现场平行样），分析指标有：pH 值、重金属（7项）、VOCs（31项）、SVOCs（21项）、正丁醇以及石油烃（C10-C40）等指标，经实验室检测分析，土壤各项指标满足</w:t>
      </w:r>
      <w:r>
        <w:rPr>
          <w:spacing w:val="11"/>
        </w:rPr>
        <w:t>《土壤环境质量 建设用地土壤污染风险管控标准</w:t>
      </w:r>
      <w:r>
        <w:rPr>
          <w:spacing w:val="14"/>
        </w:rPr>
        <w:t>（</w:t>
      </w:r>
      <w:r>
        <w:rPr>
          <w:spacing w:val="11"/>
        </w:rPr>
        <w:t>试行</w:t>
      </w:r>
      <w:r>
        <w:rPr>
          <w:spacing w:val="-108"/>
        </w:rPr>
        <w:t>）</w:t>
      </w:r>
      <w:r>
        <w:rPr>
          <w:spacing w:val="-107"/>
        </w:rPr>
        <w:t>》</w:t>
      </w:r>
      <w:r>
        <w:rPr>
          <w:spacing w:val="4"/>
        </w:rPr>
        <w:t>（</w:t>
      </w:r>
      <w:r>
        <w:rPr>
          <w:rFonts w:eastAsia="Times New Roman"/>
          <w:spacing w:val="4"/>
        </w:rPr>
        <w:t xml:space="preserve">GB </w:t>
      </w:r>
      <w:r>
        <w:rPr>
          <w:rFonts w:eastAsia="Times New Roman"/>
        </w:rPr>
        <w:t>36600-2018</w:t>
      </w:r>
      <w:r>
        <w:t>）第一类用地筛选值</w:t>
      </w:r>
      <w:r>
        <w:rPr>
          <w:rFonts w:hint="eastAsia"/>
          <w:lang w:val="en-US" w:eastAsia="zh-CN"/>
        </w:rPr>
        <w:t>的要求，地下水各项指标满足</w:t>
      </w:r>
      <w:r>
        <w:rPr>
          <w:color w:val="auto"/>
          <w:spacing w:val="-15"/>
        </w:rPr>
        <w:t>《地下水质量标准》</w:t>
      </w:r>
      <w:r>
        <w:rPr>
          <w:color w:val="auto"/>
        </w:rPr>
        <w:t>（</w:t>
      </w:r>
      <w:r>
        <w:rPr>
          <w:rFonts w:eastAsia="Times New Roman"/>
          <w:color w:val="auto"/>
        </w:rPr>
        <w:t>GB 14848-2017</w:t>
      </w:r>
      <w:r>
        <w:rPr>
          <w:color w:val="auto"/>
        </w:rPr>
        <w:t>）</w:t>
      </w:r>
      <w:r>
        <w:rPr>
          <w:color w:val="auto"/>
          <w:spacing w:val="-12"/>
        </w:rPr>
        <w:t>中</w:t>
      </w:r>
      <w:r>
        <w:rPr>
          <w:color w:val="auto"/>
          <w:spacing w:val="-27"/>
        </w:rPr>
        <w:t xml:space="preserve">的 </w:t>
      </w:r>
      <w:r>
        <w:rPr>
          <w:rFonts w:eastAsia="Times New Roman"/>
          <w:color w:val="auto"/>
        </w:rPr>
        <w:t xml:space="preserve">IV </w:t>
      </w:r>
      <w:r>
        <w:rPr>
          <w:color w:val="auto"/>
        </w:rPr>
        <w:t>类标准</w:t>
      </w:r>
      <w:r>
        <w:rPr>
          <w:rFonts w:hint="eastAsia"/>
          <w:color w:val="auto"/>
          <w:lang w:eastAsia="zh-CN"/>
        </w:rPr>
        <w:t>，</w:t>
      </w:r>
      <w:r>
        <w:rPr>
          <w:rFonts w:hint="eastAsia"/>
          <w:color w:val="auto"/>
          <w:lang w:val="en-US" w:eastAsia="zh-CN"/>
        </w:rPr>
        <w:t>石油烃</w:t>
      </w:r>
      <w:r>
        <w:t>上海市建设用地地下水污染风险管控筛选值补充指标第一类用地筛选值</w:t>
      </w:r>
      <w:r>
        <w:rPr>
          <w:rFonts w:hint="eastAsia"/>
          <w:lang w:val="en-US" w:eastAsia="zh-CN"/>
        </w:rPr>
        <w:t>的要求。</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2" w:firstLineChars="200"/>
        <w:textAlignment w:val="auto"/>
        <w:rPr>
          <w:b/>
          <w:bCs/>
        </w:rPr>
      </w:pPr>
      <w:r>
        <w:rPr>
          <w:rFonts w:hint="eastAsia"/>
          <w:b/>
          <w:bCs/>
          <w:lang w:val="en-US" w:eastAsia="zh-CN"/>
        </w:rPr>
        <w:t>3</w:t>
      </w:r>
      <w:r>
        <w:rPr>
          <w:b/>
          <w:bCs/>
        </w:rPr>
        <w:t>、结论与建议</w:t>
      </w:r>
    </w:p>
    <w:p>
      <w:pPr>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rFonts w:hint="default" w:eastAsia="宋体"/>
          <w:color w:val="auto"/>
          <w:lang w:val="en-US" w:eastAsia="zh-CN"/>
        </w:rPr>
      </w:pPr>
      <w:r>
        <w:rPr>
          <w:rFonts w:hint="eastAsia"/>
          <w:lang w:val="en-US" w:eastAsia="zh-CN"/>
        </w:rPr>
        <w:t>综合上述调查结果</w:t>
      </w:r>
      <w:r>
        <w:t>，该地块内土壤污染物含量不超过《土壤环境质量 建设用地土壤污染风险管控标准（试行）》（GB 36600-2018） 规定的第一类建设用地土壤污染风险筛选值，该地块</w:t>
      </w:r>
      <w:r>
        <w:rPr>
          <w:b/>
          <w:bCs/>
        </w:rPr>
        <w:t>不属于污染地块</w:t>
      </w:r>
      <w:r>
        <w:t>，</w:t>
      </w:r>
      <w:r>
        <w:rPr>
          <w:rFonts w:hint="eastAsia"/>
        </w:rPr>
        <w:t>满足</w:t>
      </w:r>
      <w:r>
        <w:t>规划用地土壤环境质量要求</w:t>
      </w:r>
      <w:r>
        <w:rPr>
          <w:rFonts w:hint="default" w:eastAsia="宋体"/>
          <w:color w:val="auto"/>
          <w:lang w:val="en-US"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C678E"/>
    <w:multiLevelType w:val="singleLevel"/>
    <w:tmpl w:val="9C5C678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13A26"/>
    <w:rsid w:val="1481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wordWrap w:val="0"/>
      <w:autoSpaceDE w:val="0"/>
      <w:autoSpaceDN w:val="0"/>
      <w:spacing w:before="0" w:after="0" w:line="360" w:lineRule="auto"/>
      <w:ind w:left="0" w:right="0"/>
      <w:jc w:val="left"/>
    </w:pPr>
    <w:rPr>
      <w:rFonts w:ascii="Times New Roman" w:hAnsi="Times New Roman" w:eastAsia="宋体" w:cs="宋体"/>
      <w:snapToGrid w:val="0"/>
      <w:sz w:val="24"/>
      <w:szCs w:val="24"/>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imes New Roman" w:hAnsi="Times New Roman"/>
      <w:szCs w:val="20"/>
      <w:lang w:val="zh-CN"/>
    </w:rPr>
  </w:style>
  <w:style w:type="paragraph" w:styleId="3">
    <w:name w:val="Body Text"/>
    <w:basedOn w:val="1"/>
    <w:qFormat/>
    <w:uiPriority w:val="1"/>
    <w:rPr>
      <w:rFonts w:ascii="Times New Roman" w:hAnsi="Times New Roman"/>
    </w:rPr>
  </w:style>
  <w:style w:type="paragraph" w:customStyle="1" w:styleId="6">
    <w:name w:val="正文 首行缩进:  2 字符"/>
    <w:basedOn w:val="1"/>
    <w:qFormat/>
    <w:uiPriority w:val="99"/>
    <w:pPr>
      <w:ind w:firstLine="579" w:firstLineChars="200"/>
    </w:pPr>
    <w:rPr>
      <w:rFonts w:ascii="Times New Roman" w:hAnsi="Times New Roman" w:cs="宋体"/>
      <w:szCs w:val="20"/>
    </w:rPr>
  </w:style>
  <w:style w:type="paragraph" w:customStyle="1" w:styleId="7">
    <w:name w:val="Table Paragraph"/>
    <w:basedOn w:val="1"/>
    <w:qFormat/>
    <w:uiPriority w:val="1"/>
    <w:pPr>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2021-05-18T08:45:00Z</dcterms:created>
  <dc:creator>随风而行</dc:creator>
  <cp:lastModifiedBy>随风而行</cp:lastModifiedBy>
  <dcterms:modified xsi:type="dcterms:W3CDTF">2021-05-18T08:46:06Z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90F2D2628BA741F0B70ABDEA84921BF5</vt:lpwstr>
  </property>
</Properties>
</file>